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9.jpeg" ContentType="image/jpeg"/>
  <Override PartName="/word/media/image3.jpeg" ContentType="image/jpeg"/>
  <Override PartName="/word/media/image10.jpeg" ContentType="image/jpeg"/>
  <Override PartName="/word/media/image4.jpeg" ContentType="image/jpeg"/>
  <Override PartName="/word/media/image11.jpeg" ContentType="image/jpeg"/>
  <Override PartName="/word/media/image5.jpeg" ContentType="image/jpeg"/>
  <Override PartName="/word/media/image2.jpeg" ContentType="image/jpeg"/>
  <Override PartName="/word/media/image1.png" ContentType="image/png"/>
  <Override PartName="/word/media/image8.jpeg" ContentType="image/jpeg"/>
  <Override PartName="/word/media/image6.jpeg" ContentType="image/jpeg"/>
  <Override PartName="/word/media/image7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Monotype Corsiva" w:hAnsi="Monotype Corsiva" w:eastAsia="Times New Roman" w:cs="Times New Roman"/>
          <w:color w:val="385623" w:themeColor="accent6" w:themeShade="80"/>
          <w:sz w:val="28"/>
          <w:szCs w:val="28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sz w:val="28"/>
          <w:szCs w:val="28"/>
          <w:lang w:eastAsia="ru-RU"/>
        </w:rPr>
        <mc:AlternateContent>
          <mc:Choice Requires="wps">
            <w:drawing>
              <wp:anchor behindDoc="0" distT="0" distB="0" distL="0" distR="0" simplePos="0" locked="0" layoutInCell="1" allowOverlap="1" relativeHeight="11" wp14:anchorId="0CE5EB45">
                <wp:simplePos x="0" y="0"/>
                <wp:positionH relativeFrom="margin">
                  <wp:posOffset>5281295</wp:posOffset>
                </wp:positionH>
                <wp:positionV relativeFrom="paragraph">
                  <wp:posOffset>104140</wp:posOffset>
                </wp:positionV>
                <wp:extent cx="695960" cy="705485"/>
                <wp:effectExtent l="0" t="0" r="28575" b="19050"/>
                <wp:wrapNone/>
                <wp:docPr id="1" name="Вертикальный свиток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7048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e2f0d9"/>
                        </a:solidFill>
                        <a:ln w="9360">
                          <a:solidFill>
                            <a:srgbClr val="38562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b/>
                                <w:b/>
                                <w:color w:val="385623" w:themeColor="accent6" w:themeShade="8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32"/>
                                <w:szCs w:val="44"/>
                              </w:rPr>
                              <w:t>12+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97" coordsize="21600,21600" o:spt="97" adj="2700" path="m@1,21600qx@10@11l@1@9qx@12@13qy@14@15l@0@8l@0@1qy@16@17l@6,qx@18@19qy@20@21l@5@0l@5@9qy@22@23xm@4@1qy@24@10qx@25@26qy@27@28xnsem@4@1qy@24@10qx@25@26qy@27@28xm@0@9qy@29@23qx@30@31qy@32@33qx@34@35qy@36@37xnsem@0@8l@0@1qy@16@17l@6,qx@18@19qy@20@21l@5@0l@5@9qy@22@23l@1,21600qx@17@11qy@38@39xm@3,qx@40@19qy@41@21qx@42@43qy@44@45l@4@1m@5@0l@3@0m@1@8qx@12@46qy@14@47l@0@9m@1,21600qx@10@11l@0@8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width 0 @0"/>
                  <v:f eqn="sum width 0 @1"/>
                  <v:f eqn="sum @5 0 @1"/>
                  <v:f eqn="sum height 0 @0"/>
                  <v:f eqn="sum height 0 @1"/>
                  <v:f eqn="sum @1 @1 0"/>
                  <v:f eqn="sum 0 21600 @1"/>
                  <v:f eqn="sum @2 @1 0"/>
                  <v:f eqn="sum 0 @9 @2"/>
                  <v:f eqn="sum 0 @12 @2"/>
                  <v:f eqn="sum 0 @13 @2"/>
                  <v:f eqn="sum @1 @0 0"/>
                  <v:f eqn="sum 0 @1 @1"/>
                  <v:f eqn="sum @1 @6 0"/>
                  <v:f eqn="sum @1 0 0"/>
                  <v:f eqn="sum 0 @18 @1"/>
                  <v:f eqn="sum @1 @19 0"/>
                  <v:f eqn="sum 0 @5 @1"/>
                  <v:f eqn="sum @1 @9 0"/>
                  <v:f eqn="sum 0 @4 @1"/>
                  <v:f eqn="sum 0 @24 @2"/>
                  <v:f eqn="sum 0 @10 @2"/>
                  <v:f eqn="sum @2 @25 0"/>
                  <v:f eqn="sum 0 @26 @2"/>
                  <v:f eqn="sum 0 @0 @1"/>
                  <v:f eqn="sum 0 @29 @1"/>
                  <v:f eqn="sum 0 @23 @1"/>
                  <v:f eqn="sum @1 @30 0"/>
                  <v:f eqn="sum 0 @31 @1"/>
                  <v:f eqn="sum @2 @32 0"/>
                  <v:f eqn="sum @2 @33 0"/>
                  <v:f eqn="sum 0 @34 @2"/>
                  <v:f eqn="sum @2 @35 0"/>
                  <v:f eqn="sum @1 @17 0"/>
                  <v:f eqn="sum 0 @11 @1"/>
                  <v:f eqn="sum @1 @3 0"/>
                  <v:f eqn="sum 0 @40 @1"/>
                  <v:f eqn="sum 0 @41 @2"/>
                  <v:f eqn="sum 0 @21 @2"/>
                  <v:f eqn="sum @2 @42 0"/>
                  <v:f eqn="sum 0 @43 @2"/>
                  <v:f eqn="sum @2 @8 0"/>
                  <v:f eqn="sum @2 @46 0"/>
                </v:formulas>
                <v:path gradientshapeok="t" o:connecttype="rect" textboxrect="@0,@0,@5,@9"/>
                <v:handles>
                  <v:h position="0,@0"/>
                </v:handles>
              </v:shapetype>
              <v:shape id="shape_0" ID="Вертикальный свиток 10" fillcolor="#e2f0d9" stroked="t" style="position:absolute;margin-left:415.85pt;margin-top:8.2pt;width:54.7pt;height:55.45pt;mso-position-horizontal-relative:margin" wp14:anchorId="0CE5EB45" type="shapetype_97">
                <w10:wrap type="square"/>
                <v:fill o:detectmouseclick="t" type="solid" color2="#1d0f26"/>
                <v:stroke color="#385623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b/>
                          <w:b/>
                          <w:color w:val="385623" w:themeColor="accent6" w:themeShade="80"/>
                          <w:sz w:val="32"/>
                          <w:szCs w:val="44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32"/>
                          <w:szCs w:val="44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-788670</wp:posOffset>
            </wp:positionH>
            <wp:positionV relativeFrom="paragraph">
              <wp:posOffset>635</wp:posOffset>
            </wp:positionV>
            <wp:extent cx="1165860" cy="1028700"/>
            <wp:effectExtent l="0" t="0" r="0" b="0"/>
            <wp:wrapSquare wrapText="bothSides"/>
            <wp:docPr id="3" name="Рисунок 11" descr="C:\Users\HP\Downloads\638b319d7b57e885897780\лого 2023\Лого без текста\Пин_лого_без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HP\Downloads\638b319d7b57e885897780\лого 2023\Лого без текста\Пин_лого_без текста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  <a:ln w="19050">
                      <a:solidFill>
                        <a:srgbClr val="548235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28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28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32"/>
          <w:szCs w:val="28"/>
          <w:lang w:eastAsia="ru-RU"/>
        </w:rPr>
        <w:t xml:space="preserve">Потаповский отдел 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32"/>
          <w:szCs w:val="28"/>
          <w:lang w:eastAsia="ru-RU"/>
        </w:rPr>
        <w:t>МБУК ВР «МЦБ» имени М.В. Наумова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28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Monotype Corsiva" w:hAnsi="Monotype Corsiva" w:eastAsia="Times New Roman" w:cs="Times New Roman"/>
          <w:color w:val="385623" w:themeColor="accent6" w:themeShade="80"/>
          <w:szCs w:val="28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48"/>
          <w:szCs w:val="56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48"/>
          <w:szCs w:val="56"/>
          <w:lang w:eastAsia="ru-RU"/>
        </w:rPr>
        <w:t>Рекомендательный список литературы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28"/>
          <w:szCs w:val="24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color w:val="385623" w:themeColor="accent6" w:themeShade="80"/>
          <w:sz w:val="24"/>
          <w:szCs w:val="24"/>
          <w:lang w:eastAsia="ru-RU"/>
        </w:rPr>
      </w:pPr>
      <w:r>
        <w:rPr/>
        <w:drawing>
          <wp:inline distT="0" distB="0" distL="0" distR="0">
            <wp:extent cx="5505450" cy="3892550"/>
            <wp:effectExtent l="0" t="0" r="0" b="0"/>
            <wp:docPr id="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color w:val="385623" w:themeColor="accent6" w:themeShade="80"/>
          <w:sz w:val="24"/>
          <w:szCs w:val="24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sz w:val="52"/>
          <w:szCs w:val="52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52"/>
          <w:szCs w:val="52"/>
          <w:lang w:eastAsia="ru-RU"/>
        </w:rPr>
        <w:t>«Мое здоровье + мои привычки = моя жизнь?!»</w:t>
      </w:r>
    </w:p>
    <w:p>
      <w:pPr>
        <w:pStyle w:val="Normal"/>
        <w:spacing w:lineRule="auto" w:line="240" w:before="0" w:after="0"/>
        <w:jc w:val="right"/>
        <w:rPr>
          <w:rFonts w:ascii="Monotype Corsiva" w:hAnsi="Monotype Corsiva" w:eastAsia="Times New Roman" w:cs="Times New Roman"/>
          <w:color w:val="385623" w:themeColor="accent6" w:themeShade="80"/>
          <w:kern w:val="2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32"/>
          <w:szCs w:val="28"/>
          <w:lang w:eastAsia="ru-RU"/>
        </w:rPr>
      </w:r>
    </w:p>
    <w:p>
      <w:pPr>
        <w:pStyle w:val="Normal"/>
        <w:spacing w:lineRule="auto" w:line="240" w:before="0" w:after="0"/>
        <w:jc w:val="right"/>
        <w:rPr>
          <w:sz w:val="28"/>
          <w:szCs w:val="28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28"/>
          <w:szCs w:val="28"/>
          <w:lang w:eastAsia="ru-RU"/>
        </w:rPr>
        <w:t>Составила: заведующий</w:t>
      </w:r>
    </w:p>
    <w:p>
      <w:pPr>
        <w:pStyle w:val="Normal"/>
        <w:spacing w:lineRule="auto" w:line="240" w:before="0" w:after="0"/>
        <w:jc w:val="right"/>
        <w:rPr>
          <w:sz w:val="28"/>
          <w:szCs w:val="28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28"/>
          <w:szCs w:val="28"/>
          <w:lang w:eastAsia="ru-RU"/>
        </w:rPr>
        <w:t>Потаповским отделом</w:t>
      </w:r>
    </w:p>
    <w:p>
      <w:pPr>
        <w:pStyle w:val="Normal"/>
        <w:spacing w:lineRule="auto" w:line="240" w:before="0" w:after="0"/>
        <w:jc w:val="right"/>
        <w:rPr>
          <w:sz w:val="28"/>
          <w:szCs w:val="28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28"/>
          <w:szCs w:val="28"/>
          <w:lang w:eastAsia="ru-RU"/>
        </w:rPr>
        <w:t>Дубова С.А.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150" w:after="525"/>
        <w:jc w:val="center"/>
        <w:outlineLvl w:val="0"/>
        <w:rPr/>
      </w:pPr>
      <w:r>
        <w:rPr>
          <w:rFonts w:eastAsia="Times New Roman" w:cs="Times New Roman" w:ascii="Monotype Corsiva" w:hAnsi="Monotype Corsiva"/>
          <w:bCs/>
          <w:color w:val="385623" w:themeColor="accent6" w:themeShade="80"/>
          <w:kern w:val="2"/>
          <w:sz w:val="28"/>
          <w:szCs w:val="28"/>
          <w:lang w:eastAsia="ru-RU"/>
        </w:rPr>
        <w:t xml:space="preserve">х. Потапов, </w:t>
      </w:r>
      <w:r>
        <w:rPr>
          <w:rFonts w:eastAsia="Times New Roman" w:cs="Times New Roman" w:ascii="Monotype Corsiva" w:hAnsi="Monotype Corsiva"/>
          <w:bCs/>
          <w:color w:val="385623" w:themeColor="accent6" w:themeShade="80"/>
          <w:kern w:val="2"/>
          <w:sz w:val="32"/>
          <w:szCs w:val="28"/>
          <w:lang w:eastAsia="ru-RU"/>
        </w:rPr>
        <w:t>2023 год</w:t>
      </w:r>
    </w:p>
    <w:p>
      <w:pPr>
        <w:pStyle w:val="Normal"/>
        <w:numPr>
          <w:ilvl w:val="0"/>
          <w:numId w:val="0"/>
        </w:numPr>
        <w:spacing w:lineRule="atLeast" w:line="600" w:before="0" w:after="15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385623" w:themeColor="accent6" w:themeShade="80"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85623" w:themeColor="accent6" w:themeShade="80"/>
          <w:kern w:val="2"/>
          <w:sz w:val="36"/>
          <w:szCs w:val="28"/>
          <w:lang w:eastAsia="ru-RU"/>
        </w:rPr>
        <w:t xml:space="preserve">«Мое здоровье + мои привычки = моя жизнь?!» </w:t>
      </w:r>
    </w:p>
    <w:p>
      <w:pPr>
        <w:pStyle w:val="Normal"/>
        <w:spacing w:lineRule="atLeast" w:line="330" w:before="0" w:after="150"/>
        <w:ind w:firstLine="3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Рекомендательный список литературы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Ежегодно в третий четверг ноября в ряде западных стран мира отмечается Международный день отказа от курения (No Smoking Day). Он был установлен Американским онкологическим обществом в 1977 году.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Цель Международного дня отказа от курения – способствовать снижению распространенности табачной зависимости, вовлечение в борьбу против курения всех слоев населения и врачей всех специальностей, профилактика табакокурения и информирование общества о пагубном воздействии табака на здоровье.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Представляем вашему вниманию рекомендательный список литературы «Мое здоровье + мои привычки = моя жизнь?!»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-798195</wp:posOffset>
            </wp:positionH>
            <wp:positionV relativeFrom="paragraph">
              <wp:posOffset>14605</wp:posOffset>
            </wp:positionV>
            <wp:extent cx="1590040" cy="2305050"/>
            <wp:effectExtent l="0" t="0" r="0" b="0"/>
            <wp:wrapSquare wrapText="bothSides"/>
            <wp:docPr id="5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Р</w:t>
      </w:r>
      <w:r>
        <w:rPr>
          <w:rFonts w:cs="Times New Roman" w:ascii="Times New Roman" w:hAnsi="Times New Roman"/>
          <w:b/>
          <w:sz w:val="28"/>
          <w:szCs w:val="28"/>
        </w:rPr>
        <w:t>адбиль О. 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Курение</w:t>
      </w:r>
      <w:r>
        <w:rPr>
          <w:rFonts w:cs="Times New Roman" w:ascii="Times New Roman" w:hAnsi="Times New Roman"/>
          <w:sz w:val="28"/>
          <w:szCs w:val="28"/>
        </w:rPr>
        <w:t xml:space="preserve"> [Текст] / О. С. Радбиль, Ю. М. Комаров. - М.: Медицина, 1988. - 157, [2] с. - Библиогр.: с. 152-158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работе обобщены и проанализированы результаты более чем 100 крупномасштабных научных исследований, выполненных в СССР и других странах. Представлены данные о распространенности курения и влиянии различных компонентов табака и табачного дыма на функционирование отдельных органов и систем. Особое внимание уделено анализу социально-экономического ущерба, наносимого табакокурением, формам и способам борьбы с ним, а также основным методам лечения курильщиков. Издание предназначено не только для медицинских работников, но и для широкого круга читателей.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-798195</wp:posOffset>
            </wp:positionH>
            <wp:positionV relativeFrom="paragraph">
              <wp:posOffset>-313055</wp:posOffset>
            </wp:positionV>
            <wp:extent cx="1638300" cy="2258060"/>
            <wp:effectExtent l="0" t="0" r="0" b="0"/>
            <wp:wrapSquare wrapText="bothSides"/>
            <wp:docPr id="6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143" t="9691" r="30447" b="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А</w:t>
      </w:r>
      <w:r>
        <w:rPr>
          <w:rFonts w:cs="Times New Roman" w:ascii="Times New Roman" w:hAnsi="Times New Roman"/>
          <w:b/>
          <w:sz w:val="28"/>
          <w:szCs w:val="28"/>
        </w:rPr>
        <w:t>ллен Карр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«Легкий способ бросить курить»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прошлом высококвалифицированный бухгалтер, Аллен Карр был заядлым курильщиком и выкуривал по сотне сигарет в день. Эта привычка грозила разрушить всю его жизнь, пока в 1983 году, после бесчисленных и безуспешных попыток бросить курить он не разработал собственный способ раз и навсегда избавиться от никотиновой зависимости ныне известный всему миру как «Легкий способ бросить курить».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Его метод, демонстрируя феноменальную эффективность, получил признание среди специалистов, приобрел широкую популярность и пользуется огромным успехом во многих странах мира. Аллен Карр создал всемирную сеть клиник, специалисты которых помогают курильщикам бросить курить и преодолеть зависимость от никотина. Книги Аллена Карра изданы на двадцати языках и стали бестселлерами.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-721995</wp:posOffset>
            </wp:positionH>
            <wp:positionV relativeFrom="paragraph">
              <wp:posOffset>124460</wp:posOffset>
            </wp:positionV>
            <wp:extent cx="1541145" cy="2114550"/>
            <wp:effectExtent l="0" t="0" r="0" b="0"/>
            <wp:wrapSquare wrapText="bothSides"/>
            <wp:docPr id="7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Спасибо, не курю!</w:t>
      </w:r>
      <w:r>
        <w:rPr>
          <w:rFonts w:cs="Times New Roman" w:ascii="Times New Roman" w:hAnsi="Times New Roman"/>
          <w:sz w:val="28"/>
          <w:szCs w:val="28"/>
        </w:rPr>
        <w:t xml:space="preserve"> / Сост. Н. Заикин, А. Никитин. - М.: Мол. Гвардия, 1990. - 174</w:t>
      </w:r>
      <w:r>
        <w:rPr>
          <w:rFonts w:cs="Times New Roman" w:ascii="Times New Roman" w:hAnsi="Times New Roman"/>
          <w:sz w:val="28"/>
          <w:szCs w:val="28"/>
          <w:lang w:val="en-US"/>
        </w:rPr>
        <w:t>[2]</w:t>
      </w:r>
      <w:r>
        <w:rPr>
          <w:rFonts w:cs="Times New Roman" w:ascii="Times New Roman" w:hAnsi="Times New Roman"/>
          <w:sz w:val="28"/>
          <w:szCs w:val="28"/>
        </w:rPr>
        <w:t>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 xml:space="preserve"> 5-235-00984-3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Авторы сборника заставляют по-новому взглянуть на проблемы курения, которые стоят того, чтобы о них задуматься. Издание рассчитано на массового читателя.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-784860</wp:posOffset>
            </wp:positionH>
            <wp:positionV relativeFrom="paragraph">
              <wp:posOffset>288290</wp:posOffset>
            </wp:positionV>
            <wp:extent cx="1603375" cy="2524125"/>
            <wp:effectExtent l="0" t="0" r="0" b="0"/>
            <wp:wrapSquare wrapText="bothSides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Миллер, 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Самый легкий способ бросить курить</w:t>
      </w:r>
      <w:r>
        <w:rPr>
          <w:rFonts w:cs="Times New Roman" w:ascii="Times New Roman" w:hAnsi="Times New Roman"/>
          <w:sz w:val="28"/>
          <w:szCs w:val="28"/>
        </w:rPr>
        <w:t xml:space="preserve"> / Марина Миллер. – М.: АСТ; СПб.: Сова; Владимир: ВКТ, 2012.- 61, [3]с.- (Здоровье и жизнь).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 978-5-17-045605-5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Этот метод прост как все гениальное. И, что самое приятное, чтобы им воспользоваться, никакой силы воли не требуется. Он рассчитан не на героев, а на простых смертных, то есть на людей, втянутых на протяжении долгих лет в курение и наделенных обычной, а не железной волей. Самое главное – действительно очень захотеть бросить курить, а кроме того, нужно понять несколько простых вещей, о которых и рассказано в этой книге.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-588645</wp:posOffset>
            </wp:positionH>
            <wp:positionV relativeFrom="paragraph">
              <wp:posOffset>635</wp:posOffset>
            </wp:positionV>
            <wp:extent cx="1762125" cy="2486025"/>
            <wp:effectExtent l="0" t="0" r="0" b="0"/>
            <wp:wrapSquare wrapText="bothSides"/>
            <wp:docPr id="9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К</w:t>
      </w:r>
      <w:r>
        <w:rPr>
          <w:rFonts w:cs="Times New Roman" w:ascii="Times New Roman" w:hAnsi="Times New Roman"/>
          <w:b/>
          <w:sz w:val="28"/>
          <w:szCs w:val="28"/>
        </w:rPr>
        <w:t>оробкина, З.В.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 опасной черты.</w:t>
      </w:r>
      <w:r>
        <w:rPr>
          <w:rFonts w:cs="Times New Roman" w:ascii="Times New Roman" w:hAnsi="Times New Roman"/>
          <w:sz w:val="28"/>
          <w:szCs w:val="28"/>
        </w:rPr>
        <w:t xml:space="preserve"> – М.: Мысль, 1991. – 218[2]с. – (Социология и жизнь)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 xml:space="preserve"> 5-244-00529-4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Книга рассказывает о сложности начатой борьбы за отрезвление общества. В ней рассмотрены масштабы и факторы распространения алкоголизма, наркомании, курения. Даны научные сведения о действии алкоголя на организм человека. В связи с этим особое внимание уделено нравственным аспектам.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Книга рассчитана на широкий круг читателей, особенно полезна молодежи. (Глава 3. «Задумайтесь, курильщики!»)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-636270</wp:posOffset>
            </wp:positionH>
            <wp:positionV relativeFrom="paragraph">
              <wp:posOffset>111125</wp:posOffset>
            </wp:positionV>
            <wp:extent cx="1809750" cy="2667000"/>
            <wp:effectExtent l="0" t="0" r="0" b="0"/>
            <wp:wrapSquare wrapText="bothSides"/>
            <wp:docPr id="10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Волков, А.В.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 принципов здоровья: Как увеличить жизненную энергию</w:t>
      </w:r>
      <w:r>
        <w:rPr>
          <w:rFonts w:cs="Times New Roman" w:ascii="Times New Roman" w:hAnsi="Times New Roman"/>
          <w:sz w:val="28"/>
          <w:szCs w:val="28"/>
        </w:rPr>
        <w:t xml:space="preserve"> / А.В. Волков. – 5-е изд. М.: Альпина нон-фикши, 2015. – 192 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 xml:space="preserve"> 978-5-91671-447-0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основе подхода доктора Волкова к медицине лежит идея единства всех процессов, где человек – часть системы. Здоровье он считает оптимальным состоянием, когда организм адекватно реагирует на внешние раздражители. Если мы хотим быть энергичными и работоспособными – не надо лекарств, достаточно отказаться от вредной для себя пищи, избавиться от вредных воздействий и ненужных нагрузок. В популярной и увлекательной форме автор рассказывает о пороках и преимуществах разных направлений медицины и предлагает свою систему. (Глава 2. «Без воды ни одна реакция не идет». Стр. 64 «Выпить, закусить и закурить»)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-773430</wp:posOffset>
            </wp:positionH>
            <wp:positionV relativeFrom="paragraph">
              <wp:posOffset>635</wp:posOffset>
            </wp:positionV>
            <wp:extent cx="1628775" cy="2552700"/>
            <wp:effectExtent l="0" t="0" r="0" b="0"/>
            <wp:wrapSquare wrapText="bothSides"/>
            <wp:docPr id="1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М</w:t>
      </w:r>
      <w:r>
        <w:rPr>
          <w:rFonts w:cs="Times New Roman" w:ascii="Times New Roman" w:hAnsi="Times New Roman"/>
          <w:b/>
          <w:sz w:val="28"/>
          <w:szCs w:val="28"/>
        </w:rPr>
        <w:t>арьясис, Е.Д., Скрипкин, Ю.К.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Азбука здоровья семьи</w:t>
      </w:r>
      <w:r>
        <w:rPr>
          <w:rFonts w:cs="Times New Roman" w:ascii="Times New Roman" w:hAnsi="Times New Roman"/>
          <w:sz w:val="28"/>
          <w:szCs w:val="28"/>
        </w:rPr>
        <w:t>. – М.: Медицина, 1992. – 208 с.: ил. – (Науч.-попул. Мед. Литература).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>5-225-02633-8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такое здоровье семьи? В чем оно заключается и от чего зависит. На эти и многие другие вопросы читатель найдет ответ в предлагаемой книге. В центре внимания авторов – жизнь современной семьи, воспитание детей, в том числе половое воспитание и просвещение, культура межличностных и сексуальных отношений, проблема «отцов» и «детей» и др. (Глава 5 «Осторожно, подросток!». Стр. 93 «Курить или … жить?»)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-750570</wp:posOffset>
            </wp:positionH>
            <wp:positionV relativeFrom="paragraph">
              <wp:posOffset>317500</wp:posOffset>
            </wp:positionV>
            <wp:extent cx="1633220" cy="2266950"/>
            <wp:effectExtent l="0" t="0" r="0" b="0"/>
            <wp:wrapSquare wrapText="bothSides"/>
            <wp:docPr id="12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Д</w:t>
      </w:r>
      <w:r>
        <w:rPr>
          <w:rFonts w:cs="Times New Roman" w:ascii="Times New Roman" w:hAnsi="Times New Roman"/>
          <w:sz w:val="28"/>
          <w:szCs w:val="28"/>
        </w:rPr>
        <w:t>ля широкого круга читателей.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Здоровое питание. Здоровый образ жизни.</w:t>
      </w:r>
      <w:r>
        <w:rPr>
          <w:rFonts w:cs="Times New Roman" w:ascii="Times New Roman" w:hAnsi="Times New Roman"/>
          <w:sz w:val="28"/>
          <w:szCs w:val="28"/>
        </w:rPr>
        <w:t xml:space="preserve"> – М.: АСТ: Астрель, 2005. – 237,[3]с. – (Медицина и здоровье)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 xml:space="preserve"> 5-17-011235-1 (ООО «Издательство АСТ»)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 xml:space="preserve"> 5-271-03152-1 (ООО Издательство Астрель»)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Эта книга – настоящая энциклопедия здоровья, которая содержит массу интересных и жизненно важных сведений о здоровье человека, о правильном питании и образе жизни, о курении и наркотиках, о витаминах и микроэлементах, об удивительных свойствах растений. Причем это не теоретические рассуждения, а четкие рекомендации: как избавиться от лишнего веса, как бросить курить, как наладить здоровый сон или избавиться от стресса. (Стр. 205 «Курить – здоровью вредить»)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bookmarkStart w:id="0" w:name="_GoBack"/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-496570</wp:posOffset>
            </wp:positionH>
            <wp:positionV relativeFrom="paragraph">
              <wp:posOffset>39370</wp:posOffset>
            </wp:positionV>
            <wp:extent cx="1649730" cy="2381250"/>
            <wp:effectExtent l="0" t="0" r="0" b="0"/>
            <wp:wrapSquare wrapText="bothSides"/>
            <wp:docPr id="1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К</w:t>
      </w:r>
      <w:r>
        <w:rPr>
          <w:rFonts w:cs="Times New Roman" w:ascii="Times New Roman" w:hAnsi="Times New Roman"/>
          <w:b/>
          <w:sz w:val="28"/>
          <w:szCs w:val="28"/>
        </w:rPr>
        <w:t>асаткин, В.Н., Паршутин, И.А., Рязанова, О.Л., Константинова, Т.П.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Здоровье: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bookmarkEnd w:id="0"/>
      <w:r>
        <w:rPr>
          <w:rFonts w:cs="Times New Roman" w:ascii="Times New Roman" w:hAnsi="Times New Roman"/>
          <w:sz w:val="28"/>
          <w:szCs w:val="28"/>
        </w:rPr>
        <w:t>Программа профилактики курения в школе. – М., 2005. – 132с. – (Здоровье)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 xml:space="preserve"> 5-9527-0013-6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Программа предназначена для учителей, психологов, администраторов образовательных учреждений, которые организуют в своей школе целенаправленную работу по профилактике и уменьшению курения. Руководство содержит необходимую информацию для самостоятельного проектирования программы, подготовки к урокам, тренингам, классным часам, родительским собраниям, различным формам воспитательной работы, индивидуальному психологическому консультированию.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«Мое здоровье + мои привычки = моя жизнь?!»: рекомендательный список / сост. заведующий Потаповским отделом Дубова С.А. – х. Потапов: Потаповский отдел МБУК ВР «МЦБ» им. М. В. Наумова, 2023 г.- 6 с.  </w:t>
      </w:r>
    </w:p>
    <w:p>
      <w:pPr>
        <w:pStyle w:val="Normal"/>
        <w:spacing w:before="0" w:after="16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97" w:right="1440" w:header="0" w:top="1440" w:footer="0" w:bottom="1440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Monotype Corsiva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Application>LibreOffice/6.4.7.2$Linux_X86_64 LibreOffice_project/40$Build-2</Application>
  <Pages>6</Pages>
  <Words>882</Words>
  <Characters>5608</Characters>
  <CharactersWithSpaces>6470</CharactersWithSpaces>
  <Paragraphs>52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2023-11-13T19:35:00Z</dcterms:created>
  <dc:creator>HP</dc:creator>
  <dc:description/>
  <dc:language>ru-RU</dc:language>
  <cp:lastModifiedBy/>
  <dcterms:modified xsi:type="dcterms:W3CDTF">2023-11-21T13:54:30Z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